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284"/>
        <w:gridCol w:w="8930"/>
      </w:tblGrid>
      <w:tr w:rsidR="00B67A25" w:rsidRPr="00B67A25" w14:paraId="0DF0CCDC" w14:textId="77777777" w:rsidTr="00B67A25">
        <w:trPr>
          <w:trHeight w:val="820"/>
        </w:trPr>
        <w:tc>
          <w:tcPr>
            <w:tcW w:w="284" w:type="dxa"/>
            <w:shd w:val="clear" w:color="auto" w:fill="auto"/>
          </w:tcPr>
          <w:p w14:paraId="1D68F795" w14:textId="75A14A74" w:rsidR="00B67A25" w:rsidRPr="00B67A25" w:rsidRDefault="00B67A25" w:rsidP="00E52C4D">
            <w:pPr>
              <w:pStyle w:val="Sansinterligne"/>
              <w:jc w:val="center"/>
              <w:rPr>
                <w:b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14:paraId="5EEEC7EC" w14:textId="77777777" w:rsidR="00B67A25" w:rsidRDefault="00B67A25" w:rsidP="00E52C4D">
            <w:pPr>
              <w:pStyle w:val="Sansinterligne"/>
              <w:rPr>
                <w:rFonts w:ascii="Bookman Old Style" w:eastAsia="Times New Roman" w:hAnsi="Bookman Old Style"/>
                <w:b/>
                <w:color w:val="000000"/>
                <w:sz w:val="28"/>
                <w:szCs w:val="24"/>
              </w:rPr>
            </w:pPr>
          </w:p>
          <w:p w14:paraId="646105BC" w14:textId="47B242D8" w:rsidR="00E52C4D" w:rsidRDefault="00E52C4D" w:rsidP="00E52C4D">
            <w:pPr>
              <w:pStyle w:val="Sansinterligne"/>
              <w:rPr>
                <w:rFonts w:ascii="Bookman Old Style" w:eastAsia="Times New Roman" w:hAnsi="Bookman Old Style"/>
                <w:color w:val="000000"/>
                <w:sz w:val="48"/>
                <w:szCs w:val="24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1CBB384E" wp14:editId="556BC806">
                  <wp:extent cx="1638300" cy="647700"/>
                  <wp:effectExtent l="0" t="0" r="12700" b="0"/>
                  <wp:docPr id="1" name="Image 1" descr="logo_CNRA_300x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_CNRA_300x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25E778" w14:textId="77777777" w:rsidR="00E52C4D" w:rsidRDefault="00E52C4D" w:rsidP="00E52C4D">
            <w:pPr>
              <w:pStyle w:val="Sansinterligne"/>
              <w:rPr>
                <w:rFonts w:ascii="Bookman Old Style" w:eastAsia="Times New Roman" w:hAnsi="Bookman Old Style"/>
                <w:color w:val="000000"/>
                <w:sz w:val="48"/>
                <w:szCs w:val="24"/>
              </w:rPr>
            </w:pPr>
          </w:p>
          <w:p w14:paraId="09789CCD" w14:textId="0BB9B349" w:rsidR="00B67A25" w:rsidRPr="00B67A25" w:rsidRDefault="00371DB6" w:rsidP="00E52C4D">
            <w:pPr>
              <w:pStyle w:val="Sansinterligne"/>
              <w:ind w:left="-656" w:firstLine="656"/>
              <w:rPr>
                <w:rFonts w:ascii="Bookman Old Style" w:eastAsia="Times New Roman" w:hAnsi="Bookman Old Style"/>
                <w:color w:val="000000"/>
                <w:sz w:val="48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  <w:sz w:val="48"/>
                <w:szCs w:val="24"/>
              </w:rPr>
              <w:t xml:space="preserve">     </w:t>
            </w:r>
            <w:r w:rsidR="00B67A25" w:rsidRPr="00B67A25">
              <w:rPr>
                <w:rFonts w:ascii="Bookman Old Style" w:eastAsia="Times New Roman" w:hAnsi="Bookman Old Style"/>
                <w:color w:val="000000"/>
                <w:sz w:val="48"/>
                <w:szCs w:val="24"/>
              </w:rPr>
              <w:t>Communiqué</w:t>
            </w:r>
            <w:r w:rsidR="00E52C4D">
              <w:rPr>
                <w:rFonts w:ascii="Bookman Old Style" w:eastAsia="Times New Roman" w:hAnsi="Bookman Old Style"/>
                <w:color w:val="000000"/>
                <w:sz w:val="48"/>
                <w:szCs w:val="24"/>
              </w:rPr>
              <w:t xml:space="preserve"> de PRESSE</w:t>
            </w:r>
          </w:p>
          <w:p w14:paraId="732425CF" w14:textId="77777777" w:rsidR="00B67A25" w:rsidRDefault="00B67A25" w:rsidP="00E52C4D">
            <w:pPr>
              <w:pStyle w:val="Sansinterligne"/>
              <w:rPr>
                <w:rFonts w:ascii="Bookman Old Style" w:eastAsia="Times New Roman" w:hAnsi="Bookman Old Style"/>
                <w:color w:val="000000"/>
                <w:sz w:val="40"/>
                <w:szCs w:val="24"/>
              </w:rPr>
            </w:pPr>
          </w:p>
          <w:p w14:paraId="4CCB5F06" w14:textId="77777777" w:rsidR="00B67A25" w:rsidRPr="00B67A25" w:rsidRDefault="00B67A25" w:rsidP="00E52C4D">
            <w:pPr>
              <w:pStyle w:val="Sansinterligne"/>
              <w:rPr>
                <w:rFonts w:ascii="Bookman Old Style" w:eastAsia="Times New Roman" w:hAnsi="Bookman Old Style"/>
                <w:color w:val="000000"/>
                <w:sz w:val="40"/>
                <w:szCs w:val="24"/>
              </w:rPr>
            </w:pPr>
            <w:r w:rsidRPr="00B67A25">
              <w:rPr>
                <w:rFonts w:ascii="Bookman Old Style" w:eastAsia="Times New Roman" w:hAnsi="Bookman Old Style"/>
                <w:color w:val="000000"/>
                <w:sz w:val="40"/>
                <w:szCs w:val="24"/>
              </w:rPr>
              <w:t>Interdiction de la Publicité des produits cosmétiques de dépigmentation.</w:t>
            </w:r>
          </w:p>
          <w:p w14:paraId="31094784" w14:textId="77777777" w:rsidR="00B67A25" w:rsidRPr="00B67A25" w:rsidRDefault="00B67A25" w:rsidP="00E52C4D">
            <w:pPr>
              <w:pStyle w:val="Sansinterligne"/>
              <w:rPr>
                <w:rFonts w:ascii="Bookman Old Style" w:eastAsia="Times New Roman" w:hAnsi="Bookman Old Style"/>
                <w:b/>
                <w:color w:val="000000"/>
                <w:sz w:val="32"/>
                <w:szCs w:val="24"/>
              </w:rPr>
            </w:pPr>
            <w:r w:rsidRPr="00B67A25">
              <w:rPr>
                <w:rFonts w:ascii="Bookman Old Style" w:eastAsia="Times New Roman" w:hAnsi="Bookman Old Style"/>
                <w:b/>
                <w:color w:val="000000"/>
                <w:sz w:val="32"/>
                <w:szCs w:val="24"/>
              </w:rPr>
              <w:t xml:space="preserve"> </w:t>
            </w:r>
          </w:p>
          <w:p w14:paraId="4C0960BA" w14:textId="77777777" w:rsidR="00B67A25" w:rsidRPr="00B67A25" w:rsidRDefault="00B67A25" w:rsidP="00E52C4D">
            <w:pPr>
              <w:pStyle w:val="Sansinterligne"/>
              <w:rPr>
                <w:rFonts w:ascii="Bookman Old Style" w:eastAsia="Times New Roman" w:hAnsi="Bookman Old Style"/>
                <w:b/>
                <w:color w:val="000000"/>
                <w:sz w:val="48"/>
                <w:szCs w:val="24"/>
              </w:rPr>
            </w:pPr>
            <w:r w:rsidRPr="00B67A25">
              <w:rPr>
                <w:rFonts w:ascii="Bookman Old Style" w:eastAsia="Times New Roman" w:hAnsi="Bookman Old Style"/>
                <w:b/>
                <w:color w:val="000000"/>
                <w:sz w:val="48"/>
                <w:szCs w:val="24"/>
              </w:rPr>
              <w:t>LE CNRA sanctionne la SENTV</w:t>
            </w:r>
          </w:p>
          <w:p w14:paraId="1ED0AE3E" w14:textId="77777777" w:rsidR="00B67A25" w:rsidRDefault="00B67A25" w:rsidP="00E52C4D">
            <w:pPr>
              <w:pStyle w:val="Sansinterligne"/>
              <w:rPr>
                <w:rFonts w:ascii="Bookman Old Style" w:eastAsia="Times New Roman" w:hAnsi="Bookman Old Style"/>
                <w:b/>
                <w:color w:val="000000"/>
                <w:sz w:val="28"/>
                <w:szCs w:val="24"/>
              </w:rPr>
            </w:pPr>
          </w:p>
          <w:p w14:paraId="46B93EDD" w14:textId="77777777" w:rsidR="00B67A25" w:rsidRDefault="00B67A25" w:rsidP="00E52C4D">
            <w:pPr>
              <w:pStyle w:val="Sansinterligne"/>
              <w:rPr>
                <w:rFonts w:ascii="Bookman Old Style" w:eastAsia="Times New Roman" w:hAnsi="Bookman Old Style"/>
                <w:b/>
                <w:color w:val="000000"/>
                <w:sz w:val="36"/>
                <w:szCs w:val="24"/>
              </w:rPr>
            </w:pPr>
            <w:r w:rsidRPr="00B67A25">
              <w:rPr>
                <w:rFonts w:ascii="Bookman Old Style" w:eastAsia="Times New Roman" w:hAnsi="Bookman Old Style"/>
                <w:b/>
                <w:color w:val="000000"/>
                <w:sz w:val="28"/>
                <w:szCs w:val="24"/>
              </w:rPr>
              <w:t>« </w:t>
            </w:r>
            <w:r w:rsidRPr="00B67A25">
              <w:rPr>
                <w:rFonts w:ascii="Bookman Old Style" w:eastAsia="Times New Roman" w:hAnsi="Bookman Old Style"/>
                <w:b/>
                <w:color w:val="000000"/>
                <w:sz w:val="36"/>
                <w:szCs w:val="24"/>
              </w:rPr>
              <w:t>La diffusion des programmes de la SEN TV est suspendue pour sept (07) jours, durant la période allant du mardi 31 décembre 2019 à minuit au mardi 7 janvier 2020 à minuit »</w:t>
            </w:r>
            <w:r>
              <w:rPr>
                <w:rFonts w:ascii="Bookman Old Style" w:eastAsia="Times New Roman" w:hAnsi="Bookman Old Style"/>
                <w:b/>
                <w:color w:val="000000"/>
                <w:sz w:val="36"/>
                <w:szCs w:val="24"/>
              </w:rPr>
              <w:t>.</w:t>
            </w:r>
          </w:p>
          <w:p w14:paraId="4BAD82EB" w14:textId="77777777" w:rsidR="00B67A25" w:rsidRPr="00B67A25" w:rsidRDefault="00B67A25" w:rsidP="00E52C4D">
            <w:pPr>
              <w:pStyle w:val="Sansinterligne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 w:rsidRPr="00B67A25">
              <w:rPr>
                <w:rFonts w:ascii="Times New Roman" w:hAnsi="Times New Roman"/>
                <w:b/>
                <w:sz w:val="36"/>
                <w:szCs w:val="24"/>
                <w:lang w:eastAsia="en-US"/>
              </w:rPr>
              <w:t xml:space="preserve">   </w:t>
            </w:r>
          </w:p>
          <w:p w14:paraId="5A845B05" w14:textId="7799786E" w:rsidR="00B67A25" w:rsidRDefault="00B67A25" w:rsidP="00E52C4D">
            <w:pPr>
              <w:pStyle w:val="Sansinterligne"/>
              <w:rPr>
                <w:rFonts w:ascii="Times New Roman" w:hAnsi="Times New Roman"/>
                <w:b/>
                <w:sz w:val="32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24"/>
                <w:lang w:eastAsia="en-US"/>
              </w:rPr>
              <w:t xml:space="preserve">La décision a été </w:t>
            </w:r>
            <w:r w:rsidRPr="00B67A25">
              <w:rPr>
                <w:rFonts w:ascii="Times New Roman" w:hAnsi="Times New Roman"/>
                <w:b/>
                <w:sz w:val="32"/>
                <w:szCs w:val="24"/>
                <w:lang w:eastAsia="en-US"/>
              </w:rPr>
              <w:t xml:space="preserve">prise </w:t>
            </w:r>
            <w:r w:rsidR="005A11A9">
              <w:rPr>
                <w:rFonts w:ascii="Times New Roman" w:hAnsi="Times New Roman"/>
                <w:b/>
                <w:sz w:val="32"/>
                <w:szCs w:val="24"/>
                <w:lang w:eastAsia="en-US"/>
              </w:rPr>
              <w:t xml:space="preserve">ce mardi 31 décembre 2019 </w:t>
            </w:r>
            <w:bookmarkStart w:id="0" w:name="_GoBack"/>
            <w:bookmarkEnd w:id="0"/>
            <w:r w:rsidRPr="00B67A25">
              <w:rPr>
                <w:rFonts w:ascii="Times New Roman" w:hAnsi="Times New Roman"/>
                <w:b/>
                <w:sz w:val="32"/>
                <w:szCs w:val="24"/>
                <w:lang w:eastAsia="en-US"/>
              </w:rPr>
              <w:t xml:space="preserve">par le Conseil National de Régulation de l’Audiovisuel comme suite à ses mises en </w:t>
            </w:r>
            <w:r>
              <w:rPr>
                <w:rFonts w:ascii="Times New Roman" w:hAnsi="Times New Roman"/>
                <w:b/>
                <w:sz w:val="32"/>
                <w:szCs w:val="24"/>
                <w:lang w:eastAsia="en-US"/>
              </w:rPr>
              <w:t>demeure restées sans effet sur d</w:t>
            </w:r>
            <w:r w:rsidRPr="00B67A25">
              <w:rPr>
                <w:rFonts w:ascii="Times New Roman" w:hAnsi="Times New Roman"/>
                <w:b/>
                <w:sz w:val="32"/>
                <w:szCs w:val="24"/>
                <w:lang w:eastAsia="en-US"/>
              </w:rPr>
              <w:t>es programmes diffusés par ladite télévision.</w:t>
            </w:r>
          </w:p>
          <w:p w14:paraId="22A4AD01" w14:textId="77777777" w:rsidR="00B67A25" w:rsidRPr="00B67A25" w:rsidRDefault="00B67A25" w:rsidP="00E52C4D">
            <w:pPr>
              <w:pStyle w:val="Sansinterligne"/>
              <w:rPr>
                <w:rFonts w:ascii="Times New Roman" w:hAnsi="Times New Roman"/>
                <w:b/>
                <w:sz w:val="32"/>
                <w:szCs w:val="24"/>
                <w:lang w:eastAsia="en-US"/>
              </w:rPr>
            </w:pPr>
          </w:p>
          <w:p w14:paraId="228DBF34" w14:textId="77777777" w:rsidR="00B67A25" w:rsidRDefault="00B67A25" w:rsidP="00E52C4D">
            <w:pPr>
              <w:pStyle w:val="Sansinterligne"/>
              <w:rPr>
                <w:rFonts w:ascii="Times New Roman" w:hAnsi="Times New Roman"/>
                <w:b/>
                <w:sz w:val="32"/>
                <w:szCs w:val="24"/>
                <w:lang w:eastAsia="en-US"/>
              </w:rPr>
            </w:pPr>
            <w:r w:rsidRPr="00B67A25">
              <w:rPr>
                <w:rFonts w:ascii="Times New Roman" w:hAnsi="Times New Roman"/>
                <w:b/>
                <w:sz w:val="32"/>
                <w:szCs w:val="24"/>
                <w:lang w:eastAsia="en-US"/>
              </w:rPr>
              <w:t xml:space="preserve">Entre novembre et décembre 2019, tous les éditeurs audiovisuels ont été saisis en procédure de rappel des dispositions de la loi portant interdiction de diffusion </w:t>
            </w:r>
            <w:r>
              <w:rPr>
                <w:rFonts w:ascii="Times New Roman" w:hAnsi="Times New Roman"/>
                <w:b/>
                <w:sz w:val="32"/>
                <w:szCs w:val="24"/>
                <w:lang w:eastAsia="en-US"/>
              </w:rPr>
              <w:t xml:space="preserve">de </w:t>
            </w:r>
            <w:r w:rsidRPr="00B67A25">
              <w:rPr>
                <w:rFonts w:ascii="Times New Roman" w:hAnsi="Times New Roman"/>
                <w:b/>
                <w:sz w:val="32"/>
                <w:szCs w:val="24"/>
                <w:lang w:eastAsia="en-US"/>
              </w:rPr>
              <w:t>messages publicitaires relatifs aux produits cosmétiques de dépigmentation.</w:t>
            </w:r>
          </w:p>
          <w:p w14:paraId="32ECFE71" w14:textId="77777777" w:rsidR="00B67A25" w:rsidRPr="00B67A25" w:rsidRDefault="00B67A25" w:rsidP="00E52C4D">
            <w:pPr>
              <w:pStyle w:val="Sansinterligne"/>
              <w:rPr>
                <w:rFonts w:ascii="Times New Roman" w:hAnsi="Times New Roman"/>
                <w:b/>
                <w:sz w:val="32"/>
                <w:szCs w:val="24"/>
                <w:lang w:eastAsia="en-US"/>
              </w:rPr>
            </w:pPr>
          </w:p>
          <w:p w14:paraId="48E9F2A4" w14:textId="3272C26C" w:rsidR="00B67A25" w:rsidRDefault="00B67A25" w:rsidP="00E52C4D">
            <w:pPr>
              <w:pStyle w:val="Sansinterligne"/>
              <w:rPr>
                <w:rFonts w:ascii="Times New Roman" w:hAnsi="Times New Roman"/>
                <w:b/>
                <w:sz w:val="32"/>
                <w:szCs w:val="24"/>
                <w:lang w:eastAsia="en-US"/>
              </w:rPr>
            </w:pPr>
            <w:r w:rsidRPr="00B67A25">
              <w:rPr>
                <w:rFonts w:ascii="Times New Roman" w:hAnsi="Times New Roman"/>
                <w:b/>
                <w:sz w:val="32"/>
                <w:szCs w:val="24"/>
                <w:lang w:eastAsia="en-US"/>
              </w:rPr>
              <w:t xml:space="preserve"> Les différents rappels n’ont certes pas été san</w:t>
            </w:r>
            <w:r w:rsidR="005A11A9">
              <w:rPr>
                <w:rFonts w:ascii="Times New Roman" w:hAnsi="Times New Roman"/>
                <w:b/>
                <w:sz w:val="32"/>
                <w:szCs w:val="24"/>
                <w:lang w:eastAsia="en-US"/>
              </w:rPr>
              <w:t>s réaction de la part des édit</w:t>
            </w:r>
            <w:r w:rsidRPr="00B67A25">
              <w:rPr>
                <w:rFonts w:ascii="Times New Roman" w:hAnsi="Times New Roman"/>
                <w:b/>
                <w:sz w:val="32"/>
                <w:szCs w:val="24"/>
                <w:lang w:eastAsia="en-US"/>
              </w:rPr>
              <w:t>eurs, ces derniers invoquant chacun de leur côté</w:t>
            </w:r>
            <w:r>
              <w:rPr>
                <w:rFonts w:ascii="Times New Roman" w:hAnsi="Times New Roman"/>
                <w:b/>
                <w:sz w:val="32"/>
                <w:szCs w:val="24"/>
                <w:lang w:eastAsia="en-US"/>
              </w:rPr>
              <w:t>,</w:t>
            </w:r>
            <w:r w:rsidRPr="00B67A25">
              <w:rPr>
                <w:rFonts w:ascii="Times New Roman" w:hAnsi="Times New Roman"/>
                <w:b/>
                <w:sz w:val="32"/>
                <w:szCs w:val="24"/>
                <w:lang w:eastAsia="en-US"/>
              </w:rPr>
              <w:t xml:space="preserve"> les contrats déjà passés avec des annonceurs. </w:t>
            </w:r>
          </w:p>
          <w:p w14:paraId="520E6341" w14:textId="77777777" w:rsidR="00B67A25" w:rsidRDefault="00B67A25" w:rsidP="00E52C4D">
            <w:pPr>
              <w:pStyle w:val="Sansinterligne"/>
              <w:rPr>
                <w:rFonts w:ascii="Times New Roman" w:hAnsi="Times New Roman"/>
                <w:b/>
                <w:sz w:val="32"/>
                <w:szCs w:val="24"/>
                <w:lang w:eastAsia="en-US"/>
              </w:rPr>
            </w:pPr>
          </w:p>
          <w:p w14:paraId="0D02A11D" w14:textId="77777777" w:rsidR="00B67A25" w:rsidRDefault="00B67A25" w:rsidP="00E52C4D">
            <w:pPr>
              <w:pStyle w:val="Sansinterligne"/>
              <w:rPr>
                <w:rFonts w:ascii="Times New Roman" w:hAnsi="Times New Roman"/>
                <w:b/>
                <w:sz w:val="32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24"/>
                <w:lang w:eastAsia="en-US"/>
              </w:rPr>
              <w:t>Le Régulateur étant, a</w:t>
            </w:r>
            <w:r w:rsidRPr="00B67A25">
              <w:rPr>
                <w:rFonts w:ascii="Times New Roman" w:hAnsi="Times New Roman"/>
                <w:b/>
                <w:sz w:val="32"/>
                <w:szCs w:val="24"/>
                <w:lang w:eastAsia="en-US"/>
              </w:rPr>
              <w:t xml:space="preserve">u même titre que les médias, </w:t>
            </w:r>
            <w:r>
              <w:rPr>
                <w:rFonts w:ascii="Times New Roman" w:hAnsi="Times New Roman"/>
                <w:b/>
                <w:sz w:val="32"/>
                <w:szCs w:val="24"/>
                <w:lang w:eastAsia="en-US"/>
              </w:rPr>
              <w:t xml:space="preserve">tenu au respect de la Loi qui  définit ses prérogatives, </w:t>
            </w:r>
            <w:r w:rsidRPr="00B67A25">
              <w:rPr>
                <w:rFonts w:ascii="Times New Roman" w:hAnsi="Times New Roman"/>
                <w:b/>
                <w:sz w:val="32"/>
                <w:szCs w:val="24"/>
                <w:lang w:eastAsia="en-US"/>
              </w:rPr>
              <w:t xml:space="preserve">le Collège a pris la décision qui s’impose. </w:t>
            </w:r>
          </w:p>
          <w:p w14:paraId="38EB899C" w14:textId="77777777" w:rsidR="00B67A25" w:rsidRDefault="00B67A25" w:rsidP="00E52C4D">
            <w:pPr>
              <w:pStyle w:val="Sansinterligne"/>
              <w:rPr>
                <w:rFonts w:ascii="Times New Roman" w:hAnsi="Times New Roman"/>
                <w:b/>
                <w:sz w:val="32"/>
                <w:szCs w:val="24"/>
                <w:lang w:eastAsia="en-US"/>
              </w:rPr>
            </w:pPr>
          </w:p>
          <w:p w14:paraId="3F0B08BA" w14:textId="216A8E2D" w:rsidR="00B67A25" w:rsidRPr="00B67A25" w:rsidRDefault="00B67A25" w:rsidP="00E52C4D">
            <w:pPr>
              <w:pStyle w:val="Sansinterligne"/>
              <w:rPr>
                <w:rFonts w:ascii="Times New Roman" w:hAnsi="Times New Roman"/>
                <w:b/>
                <w:sz w:val="32"/>
                <w:szCs w:val="24"/>
                <w:lang w:eastAsia="en-US"/>
              </w:rPr>
            </w:pPr>
            <w:r w:rsidRPr="00B67A25">
              <w:rPr>
                <w:rFonts w:ascii="Times New Roman" w:hAnsi="Times New Roman"/>
                <w:b/>
                <w:sz w:val="32"/>
                <w:szCs w:val="24"/>
                <w:lang w:eastAsia="en-US"/>
              </w:rPr>
              <w:t>Le Grou</w:t>
            </w:r>
            <w:r w:rsidR="005A11A9">
              <w:rPr>
                <w:rFonts w:ascii="Times New Roman" w:hAnsi="Times New Roman"/>
                <w:b/>
                <w:sz w:val="32"/>
                <w:szCs w:val="24"/>
                <w:lang w:eastAsia="en-US"/>
              </w:rPr>
              <w:t xml:space="preserve">pe </w:t>
            </w:r>
            <w:proofErr w:type="spellStart"/>
            <w:r w:rsidR="005A11A9">
              <w:rPr>
                <w:rFonts w:ascii="Times New Roman" w:hAnsi="Times New Roman"/>
                <w:b/>
                <w:sz w:val="32"/>
                <w:szCs w:val="24"/>
                <w:lang w:eastAsia="en-US"/>
              </w:rPr>
              <w:t>DMédia</w:t>
            </w:r>
            <w:proofErr w:type="spellEnd"/>
            <w:r w:rsidR="005A11A9">
              <w:rPr>
                <w:rFonts w:ascii="Times New Roman" w:hAnsi="Times New Roman"/>
                <w:b/>
                <w:sz w:val="32"/>
                <w:szCs w:val="24"/>
                <w:lang w:eastAsia="en-US"/>
              </w:rPr>
              <w:t xml:space="preserve"> est à ce jour le seul, après avoir été mis en demeure, </w:t>
            </w:r>
            <w:r w:rsidRPr="00B67A25">
              <w:rPr>
                <w:rFonts w:ascii="Times New Roman" w:hAnsi="Times New Roman"/>
                <w:b/>
                <w:sz w:val="32"/>
                <w:szCs w:val="24"/>
                <w:lang w:eastAsia="en-US"/>
              </w:rPr>
              <w:t>à refuser d’obéir à l’injonc</w:t>
            </w:r>
            <w:r>
              <w:rPr>
                <w:rFonts w:ascii="Times New Roman" w:hAnsi="Times New Roman"/>
                <w:b/>
                <w:sz w:val="32"/>
                <w:szCs w:val="24"/>
                <w:lang w:eastAsia="en-US"/>
              </w:rPr>
              <w:t xml:space="preserve">tion faite à tous les éditeurs d’arrêter la diffusion  des messages visés, </w:t>
            </w:r>
            <w:r w:rsidRPr="00B67A25">
              <w:rPr>
                <w:rFonts w:ascii="Times New Roman" w:hAnsi="Times New Roman"/>
                <w:b/>
                <w:sz w:val="32"/>
                <w:szCs w:val="24"/>
                <w:lang w:eastAsia="en-US"/>
              </w:rPr>
              <w:t xml:space="preserve">conformément à la Loi </w:t>
            </w:r>
            <w:r w:rsidRPr="00B67A25">
              <w:rPr>
                <w:rFonts w:ascii="Bookman Old Style" w:hAnsi="Bookman Old Style"/>
                <w:sz w:val="32"/>
                <w:szCs w:val="24"/>
              </w:rPr>
              <w:t>n° 2017-27 du 13 juillet 2017</w:t>
            </w:r>
            <w:r w:rsidR="005A11A9">
              <w:rPr>
                <w:rFonts w:ascii="Bookman Old Style" w:hAnsi="Bookman Old Style"/>
                <w:sz w:val="32"/>
                <w:szCs w:val="24"/>
              </w:rPr>
              <w:t xml:space="preserve">, la Loi 2006 -04 du 4 janvier 2006 portant création du CNRA </w:t>
            </w:r>
            <w:r w:rsidRPr="00B67A25">
              <w:rPr>
                <w:rFonts w:ascii="Bookman Old Style" w:hAnsi="Bookman Old Style"/>
                <w:sz w:val="32"/>
                <w:szCs w:val="24"/>
              </w:rPr>
              <w:t>portant Code de la Presse </w:t>
            </w:r>
            <w:r w:rsidRPr="00B67A25">
              <w:rPr>
                <w:rFonts w:ascii="Times New Roman" w:hAnsi="Times New Roman"/>
                <w:b/>
                <w:sz w:val="32"/>
                <w:szCs w:val="24"/>
                <w:lang w:eastAsia="en-US"/>
              </w:rPr>
              <w:t xml:space="preserve">et au Cahier des Charges applicable </w:t>
            </w:r>
            <w:r w:rsidRPr="00B67A25">
              <w:rPr>
                <w:rFonts w:ascii="Bookman Old Style" w:hAnsi="Bookman Old Style"/>
                <w:sz w:val="32"/>
                <w:szCs w:val="24"/>
              </w:rPr>
              <w:t>aux titulaires d’une autorisation de diffusion de programmes de télévision privée de droit sénégalais</w:t>
            </w:r>
            <w:r w:rsidR="005A11A9">
              <w:rPr>
                <w:rFonts w:ascii="Bookman Old Style" w:hAnsi="Bookman Old Style"/>
                <w:sz w:val="32"/>
                <w:szCs w:val="24"/>
              </w:rPr>
              <w:t>.</w:t>
            </w:r>
          </w:p>
          <w:p w14:paraId="255AA65B" w14:textId="77777777" w:rsidR="00B67A25" w:rsidRPr="00B67A25" w:rsidRDefault="00B67A25" w:rsidP="00E52C4D">
            <w:pPr>
              <w:pStyle w:val="Sansinterligne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21ACC248" w14:textId="77777777" w:rsidR="00B67A25" w:rsidRPr="00B67A25" w:rsidRDefault="00B67A25" w:rsidP="00B67A25">
            <w:pPr>
              <w:pStyle w:val="Sansinterligne"/>
              <w:rPr>
                <w:rFonts w:ascii="Times New Roman" w:hAnsi="Times New Roman"/>
                <w:b/>
                <w:sz w:val="36"/>
                <w:szCs w:val="24"/>
                <w:lang w:eastAsia="en-US"/>
              </w:rPr>
            </w:pPr>
            <w:r w:rsidRPr="00B67A25">
              <w:rPr>
                <w:rFonts w:ascii="Times New Roman" w:hAnsi="Times New Roman"/>
                <w:b/>
                <w:sz w:val="36"/>
                <w:szCs w:val="24"/>
                <w:lang w:eastAsia="en-US"/>
              </w:rPr>
              <w:t>Voir en PJ les attendus et la Motivation de la décision qui fonde l’action du CNRA.</w:t>
            </w:r>
          </w:p>
          <w:p w14:paraId="7BA61A18" w14:textId="77777777" w:rsidR="00B67A25" w:rsidRPr="00B67A25" w:rsidRDefault="00B67A25" w:rsidP="00E52C4D">
            <w:pPr>
              <w:pStyle w:val="Sansinterligne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2E441809" w14:textId="77777777" w:rsidR="00B67A25" w:rsidRPr="00B67A25" w:rsidRDefault="00B67A25" w:rsidP="00E52C4D">
            <w:pPr>
              <w:pStyle w:val="Sansinterligne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055ADAEE" w14:textId="77777777" w:rsidR="00B67A25" w:rsidRPr="00B67A25" w:rsidRDefault="00B67A25" w:rsidP="00E52C4D">
            <w:pPr>
              <w:pStyle w:val="Sansinterligne"/>
              <w:ind w:left="-2782" w:hanging="8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098D7EC8" w14:textId="77777777" w:rsidR="00B67A25" w:rsidRPr="00B67A25" w:rsidRDefault="00B67A25" w:rsidP="00E52C4D">
            <w:pPr>
              <w:pStyle w:val="Sansinterligne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1445797A" w14:textId="77777777" w:rsidR="00B67A25" w:rsidRPr="00B67A25" w:rsidRDefault="00B67A25" w:rsidP="00E52C4D">
            <w:pPr>
              <w:pStyle w:val="Sansinterligne"/>
              <w:tabs>
                <w:tab w:val="left" w:pos="4335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7A2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</w:r>
          </w:p>
          <w:p w14:paraId="48520759" w14:textId="77777777" w:rsidR="00B67A25" w:rsidRPr="00B67A25" w:rsidRDefault="00B67A25" w:rsidP="00E52C4D">
            <w:pPr>
              <w:pStyle w:val="Sansinterligne"/>
              <w:jc w:val="right"/>
              <w:rPr>
                <w:b/>
                <w:noProof/>
                <w:sz w:val="24"/>
                <w:szCs w:val="24"/>
                <w:lang w:eastAsia="en-US"/>
              </w:rPr>
            </w:pPr>
          </w:p>
        </w:tc>
      </w:tr>
    </w:tbl>
    <w:p w14:paraId="69EFBA22" w14:textId="77777777" w:rsidR="003B31F6" w:rsidRPr="00B67A25" w:rsidRDefault="003B31F6">
      <w:pPr>
        <w:rPr>
          <w:sz w:val="24"/>
          <w:szCs w:val="24"/>
        </w:rPr>
      </w:pPr>
    </w:p>
    <w:sectPr w:rsidR="003B31F6" w:rsidRPr="00B67A25" w:rsidSect="00C0765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25"/>
    <w:rsid w:val="00371DB6"/>
    <w:rsid w:val="003B31F6"/>
    <w:rsid w:val="00412081"/>
    <w:rsid w:val="005A11A9"/>
    <w:rsid w:val="00B67A25"/>
    <w:rsid w:val="00C07652"/>
    <w:rsid w:val="00E5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B933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A25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B67A25"/>
    <w:rPr>
      <w:rFonts w:ascii="Calibri" w:eastAsia="Calibri" w:hAnsi="Calibri" w:cs="Times New Roman"/>
      <w:sz w:val="20"/>
      <w:szCs w:val="20"/>
    </w:rPr>
  </w:style>
  <w:style w:type="character" w:customStyle="1" w:styleId="SansinterligneCar">
    <w:name w:val="Sans interligne Car"/>
    <w:link w:val="Sansinterligne"/>
    <w:uiPriority w:val="1"/>
    <w:rsid w:val="00B67A25"/>
    <w:rPr>
      <w:rFonts w:ascii="Calibri" w:eastAsia="Calibri" w:hAnsi="Calibri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2C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2C4D"/>
    <w:rPr>
      <w:rFonts w:ascii="Lucida Grande" w:eastAsia="Calibri" w:hAnsi="Lucida Grande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A25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B67A25"/>
    <w:rPr>
      <w:rFonts w:ascii="Calibri" w:eastAsia="Calibri" w:hAnsi="Calibri" w:cs="Times New Roman"/>
      <w:sz w:val="20"/>
      <w:szCs w:val="20"/>
    </w:rPr>
  </w:style>
  <w:style w:type="character" w:customStyle="1" w:styleId="SansinterligneCar">
    <w:name w:val="Sans interligne Car"/>
    <w:link w:val="Sansinterligne"/>
    <w:uiPriority w:val="1"/>
    <w:rsid w:val="00B67A25"/>
    <w:rPr>
      <w:rFonts w:ascii="Calibri" w:eastAsia="Calibri" w:hAnsi="Calibri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2C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2C4D"/>
    <w:rPr>
      <w:rFonts w:ascii="Lucida Grande" w:eastAsia="Calibri" w:hAnsi="Lucida Grande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253</Words>
  <Characters>1392</Characters>
  <Application>Microsoft Macintosh Word</Application>
  <DocSecurity>0</DocSecurity>
  <Lines>11</Lines>
  <Paragraphs>3</Paragraphs>
  <ScaleCrop>false</ScaleCrop>
  <Company>BAKHOUM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BASS </dc:creator>
  <cp:keywords/>
  <dc:description/>
  <cp:lastModifiedBy>MR BASS </cp:lastModifiedBy>
  <cp:revision>3</cp:revision>
  <dcterms:created xsi:type="dcterms:W3CDTF">2019-12-31T16:36:00Z</dcterms:created>
  <dcterms:modified xsi:type="dcterms:W3CDTF">2019-12-31T17:01:00Z</dcterms:modified>
</cp:coreProperties>
</file>